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spacing w:after="0" w:before="0" w:line="240" w:lineRule="auto"/>
        <w:contextualSpacing w:val="0"/>
        <w:jc w:val="center"/>
      </w:pPr>
      <w:bookmarkStart w:colFirst="0" w:colLast="0" w:name="h.1k2x63c1nkvm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Экзаменационные вопросы и теормин по курсу</w:t>
      </w:r>
    </w:p>
    <w:p w:rsidR="00000000" w:rsidDel="00000000" w:rsidP="00000000" w:rsidRDefault="00000000" w:rsidRPr="00000000">
      <w:pPr>
        <w:pStyle w:val="Title"/>
        <w:spacing w:after="0" w:before="0" w:line="240" w:lineRule="auto"/>
        <w:contextualSpacing w:val="0"/>
        <w:jc w:val="center"/>
      </w:pPr>
      <w:bookmarkStart w:colFirst="0" w:colLast="0" w:name="h.jugqzudsijri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“Методы Машинного Обучения”</w:t>
      </w:r>
    </w:p>
    <w:p w:rsidR="00000000" w:rsidDel="00000000" w:rsidP="00000000" w:rsidRDefault="00000000" w:rsidRPr="00000000">
      <w:pPr>
        <w:pStyle w:val="Subtitle"/>
        <w:spacing w:after="0" w:before="0" w:line="240" w:lineRule="auto"/>
        <w:contextualSpacing w:val="0"/>
        <w:jc w:val="center"/>
      </w:pPr>
      <w:bookmarkStart w:colFirst="0" w:colLast="0" w:name="h.1uqolr7e9w6i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группа 521, 2015 год</w:t>
      </w:r>
    </w:p>
    <w:p w:rsidR="00000000" w:rsidDel="00000000" w:rsidP="00000000" w:rsidRDefault="00000000" w:rsidRPr="00000000">
      <w:pPr>
        <w:pStyle w:val="Subtitle"/>
        <w:spacing w:after="0" w:before="0" w:line="240" w:lineRule="auto"/>
        <w:contextualSpacing w:val="0"/>
        <w:jc w:val="center"/>
      </w:pPr>
      <w:bookmarkStart w:colFirst="0" w:colLast="0" w:name="h.1uqolr7e9w6i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лекции читали Майсурадзе А. И. (Арчил Иверьевич) и Сенько О. В. (Олег Валентинович)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Экзаменационные вопросы</w:t>
      </w:r>
    </w:p>
    <w:p w:rsidR="00000000" w:rsidDel="00000000" w:rsidP="00000000" w:rsidRDefault="00000000" w:rsidRPr="00000000">
      <w:pPr>
        <w:pStyle w:val="Heading2"/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left"/>
      </w:pPr>
      <w:bookmarkStart w:colFirst="0" w:colLast="0" w:name="h.4ulno9sx4hj8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after="0" w:before="0" w:line="240" w:lineRule="auto"/>
        <w:contextualSpacing w:val="0"/>
        <w:jc w:val="both"/>
      </w:pPr>
      <w:bookmarkStart w:colFirst="0" w:colLast="0" w:name="h.9b7xvy7zrzfn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Основы анализа данных (часть Майсурадзе)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Место и роль ИАД в современной структуре человеческой деятельности. Три уровня технологий анализа данных, их назначение. Понятие о моделировании реального мира в науке. Физическая модель. Модель “решателя”. Информационная модель. Эвристическая модель. Основной приём ИАД для связи предметных областей и фундаментальной математики (обучение и эксплуатация эвристической информационной модели).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Основные модели данных (dataframe, multidimensional, similarity tensor, transactional). Гомогенные и гетерогенные модели. Фундаментальные задачи ИАД и основные инструменты статистики.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Распределение фундаментальных задач ИАД и основных инструментов статистики по моделям данных: в разрезе исходных данных, в разрезе результатов.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after="0" w:before="0" w:line="240" w:lineRule="auto"/>
        <w:contextualSpacing w:val="0"/>
      </w:pPr>
      <w:bookmarkStart w:colFirst="0" w:colLast="0" w:name="h.quwyyxf6mohk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Основные модели данных (часть Майсурадзе)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Модель данных «признаковое описание объектов». Понятие о шкалах значений атрибутов. Представление реляционными технологиями. Схемы «звезда» и «снежинка».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Многомерная модель данных. Группирование объектов как переход к многомерной модели данных. Аналитические пространства. Измерения и категории. Показатели. Детализация. Функции агрегирования, типы показателей по агрегированию.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Транзакционная модель данных. Связанные с ней задачи.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after="0" w:before="0" w:line="240" w:lineRule="auto"/>
        <w:contextualSpacing w:val="0"/>
      </w:pPr>
      <w:bookmarkStart w:colFirst="0" w:colLast="0" w:name="h.6ax75mk7de1c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Классификация как задача (часть Майсурадзе)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Общая задача классифи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ации. Понятие об обучении и использовании. Объект, модель, алгоритм-классификатор. Универсальные ограничения. Локальные ограничения. Оптимизационный подход.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Функционалы качества на размеченной выборке. Частотные функционалы качества. Случай бинарной классификации. Стоимостные функционалы качества. Несоответствие частотных и стоимостных функционалов качества человеческому поведению.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trike w:val="1"/>
          <w:rtl w:val="0"/>
        </w:rPr>
        <w:t xml:space="preserve">Подходы к многокритериальной оптимизации. -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after="0" w:before="0" w:line="240" w:lineRule="auto"/>
        <w:contextualSpacing w:val="0"/>
        <w:jc w:val="both"/>
      </w:pPr>
      <w:bookmarkStart w:colFirst="0" w:colLast="0" w:name="h.nmihnelj46eo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Статистический подход к распознаванию (часть Сенько)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Понятие байесовского классификатора как оптимального алгоритма распознавания.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Классификаторы, основанные на использовании формулы Байеса. Линейный дискриминант Фишера.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Классификаторы, основанные на использовании формулы Байеса. Логистическая регрессия.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Метод k-ближайших соседей.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both"/>
        <w:rPr>
          <w:sz w:val="22"/>
          <w:szCs w:val="22"/>
        </w:rPr>
      </w:pPr>
      <w:bookmarkStart w:colFirst="0" w:colLast="0" w:name="h.5a053bf2wrfk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Практические навыки работы с данными (часть Майсурадзе)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Форматы представления информации. Текстовые файлы, их атрибуты, проблема определения атрибутов. Текстовые форматы представления таблиц: separated values, delimited text. Экранирование символов. Форматы представления транзакционных данных.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trike w:val="1"/>
          <w:rtl w:val="0"/>
        </w:rPr>
        <w:t xml:space="preserve">Диаграммы для наборов точек из R^n. -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Диаграммы для многомерной модели данных. Системы отчётности.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both"/>
        <w:rPr>
          <w:sz w:val="22"/>
          <w:szCs w:val="22"/>
        </w:rPr>
      </w:pPr>
      <w:bookmarkStart w:colFirst="0" w:colLast="0" w:name="h.3bup0gmm3nly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Регрессионный анализ (часть Сенько)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Простая регрессия. Множественная регрессия. Поиск коэффициентов по МНК. Недостатки МНК.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Трёхкомпонентное разложение ошибки регрессионных моделей.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Регуляризация по Тихонову. Гребневая регрессия, лассо, эластичные сети.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widowControl w:val="1"/>
        <w:spacing w:after="0" w:before="0" w:line="240" w:lineRule="auto"/>
        <w:ind w:left="0" w:right="0" w:firstLine="0"/>
        <w:contextualSpacing w:val="0"/>
        <w:jc w:val="both"/>
        <w:rPr>
          <w:sz w:val="22"/>
          <w:szCs w:val="22"/>
        </w:rPr>
      </w:pPr>
      <w:bookmarkStart w:colFirst="0" w:colLast="0" w:name="h.7c5hai8trzsg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Метрические тензоры (часть Общая)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Тут везде нужна только постановка задачи кластеризации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Модель данных «метрические тензоры», гомогенные и гетерогенные многомерные матрицы сходства. Группирование объектов как кластеризация по метрическим описаниям. Гомогенная кластеризация, бикластеризация, мультикластеризация. Основные типы результатов кластеризации (плоская, последовательная плоская, иерархическая, нечёткая, стохастическая, ранговая).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Плоская кластеризация. Задача и метод k-means.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Последовательная плоская кластеризация. Метод ФОРЕЛЬ.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Иерархическая кластеризация. Дивизивная. Агломеративная, функционалы связи (linkage).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trike w:val="1"/>
          <w:rtl w:val="0"/>
        </w:rPr>
        <w:t xml:space="preserve">Задачи точной реализации метрических тензоров. Корректность задачи (разрешимость, однозначность). Алгоритмическая сложность (на примере метрик Минковского). Метрическое многомерное шкалирование, его связь с методом главных компонент.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trike w:val="1"/>
          <w:rtl w:val="0"/>
        </w:rPr>
        <w:t xml:space="preserve">Задачи аппроксимации метрических тензоров. Неметрическое многомерное шкалирование. Функционалы стресса. Монотонные (изотонические) отображения, сохранение ранга метрического тензора. Достаточная размерность представления для неразрешимых задач.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trike w:val="1"/>
          <w:rtl w:val="0"/>
        </w:rPr>
        <w:t xml:space="preserve">Задача кластеризации как задача аппроксимации метрического тензора. Метрики на метриках, аппроксимация метрик метриками. Метрические деревья. Ультраметрические деревья. Филогенетические деревья, интерпретация длин ребёр и нетерминальных вершин в ультраметрических деревьях, гипотеза молекулярных часов. Гарантированное получение классов эквивалентности. Общая схема вычисления ближайшей ультраметрики.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after="0" w:before="0" w:line="240" w:lineRule="auto"/>
        <w:contextualSpacing w:val="0"/>
      </w:pPr>
      <w:bookmarkStart w:colFirst="0" w:colLast="0" w:name="h.368wyzatxt4z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Модели и методы ИАД (часть Сенько)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ROC анализ.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Линейная модель. Линейная машина как метод обучения линейной модели.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Метод опорных векторов.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Нейронные сети. Модель перцептрона Розенблатта. Метод его обучения. Теорема Новикова. Переход от сдвига к фиктивному признаку. Многослойные перцептроны. Метод обратного распространения ошибки. Функции активации, удобные для распространения ошибки. Возможность разделения любых множеств.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Решающие деревья.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Комбинаторно логические методы. Тестовый алгоритм.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Основы АВО. Алгоритмы типа КОРА.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Алгоритмы, основанные на голосования по наборам закономерностей.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trike w:val="1"/>
          <w:rtl w:val="0"/>
        </w:rPr>
        <w:t xml:space="preserve">Метод логических закономерностей. Метод статистически взвешенных синдромов.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Bagging. Boosting. Решающие леса (random forest).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trike w:val="1"/>
          <w:rtl w:val="0"/>
        </w:rPr>
        <w:t xml:space="preserve">Коллективные методы. Ошибка и выпуклые комбинации предикторов. Основы алгебраической коррекции.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Анализ выживаемости как задача.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trike w:val="1"/>
          <w:rtl w:val="0"/>
        </w:rPr>
        <w:t xml:space="preserve">Основы модели Кокса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spacing w:after="0" w:before="0" w:line="240" w:lineRule="auto"/>
        <w:contextualSpacing w:val="0"/>
        <w:jc w:val="center"/>
      </w:pPr>
      <w:bookmarkStart w:colFirst="0" w:colLast="0" w:name="h.a4w3n4rp160m" w:id="12"/>
      <w:bookmarkEnd w:id="12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Теормин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Понятие о фундаментальных задачах ИАД (основные задачи машинного обучения). Принципы их группирования.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Понятие фундаментальный ИАД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При решении прикладных задач методами ИАД принято делить общую задачу на несколько подзадач (провести декомпозицию), каждая из которых уже известна и изучена. Исторически сложился некоторый набор таких подзадач, на которые удобно проводить декомпозицию. Именно такие задачи называют фундаментальными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задачами ИАД.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Задачи  обучения с учителем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>
      <w:pPr>
        <w:numPr>
          <w:ilvl w:val="1"/>
          <w:numId w:val="6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Задачи классификации - надо получить алгоритм, который может отнести произвольный объект к одному из заранее заданных классов</w:t>
      </w:r>
    </w:p>
    <w:p w:rsidR="00000000" w:rsidDel="00000000" w:rsidP="00000000" w:rsidRDefault="00000000" w:rsidRPr="00000000">
      <w:pPr>
        <w:numPr>
          <w:ilvl w:val="1"/>
          <w:numId w:val="6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Задачи восстановления регрессии - надо получить алгоритм (регрессию), который каждому объекту распознавания сопоставит некоторое значение из бесконечного, непрерывного множества</w:t>
      </w:r>
    </w:p>
    <w:p w:rsidR="00000000" w:rsidDel="00000000" w:rsidP="00000000" w:rsidRDefault="00000000" w:rsidRPr="00000000">
      <w:pPr>
        <w:numPr>
          <w:ilvl w:val="1"/>
          <w:numId w:val="6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Задачи обучения по прецедентам - классификатор или регрессия настраиваются по заданному конечному набору прецедентов - объектов с заранее известными правильными ответами.</w:t>
      </w:r>
    </w:p>
    <w:p w:rsidR="00000000" w:rsidDel="00000000" w:rsidP="00000000" w:rsidRDefault="00000000" w:rsidRPr="00000000">
      <w:pPr>
        <w:numPr>
          <w:ilvl w:val="1"/>
          <w:numId w:val="6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Задачи прогнозирования - обычно прогнозирование сводится к классификации или восстановлению регрессии, когда один из признаков определяет время.</w:t>
      </w:r>
    </w:p>
    <w:p w:rsidR="00000000" w:rsidDel="00000000" w:rsidP="00000000" w:rsidRDefault="00000000" w:rsidRPr="00000000">
      <w:pPr>
        <w:numPr>
          <w:ilvl w:val="1"/>
          <w:numId w:val="6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Задачи последовательного обучения - прецеденты приходят последовательно во времени (один за другим). Алгоритм постоянно донастраивается.</w:t>
      </w:r>
    </w:p>
    <w:p w:rsidR="00000000" w:rsidDel="00000000" w:rsidP="00000000" w:rsidRDefault="00000000" w:rsidRPr="00000000">
      <w:pPr>
        <w:numPr>
          <w:ilvl w:val="1"/>
          <w:numId w:val="6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Архивирование, настройка модели источника - символы на архивацию приходят последовательно один за другим. (ИАД здесь нужен потому, что нужно уметь предсказывать будущие символы, чтобы кодировать самые популярные наименьшим количеством бит)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Задачи обучения без учителя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>
      <w:pPr>
        <w:numPr>
          <w:ilvl w:val="1"/>
          <w:numId w:val="6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Кластеризация (Сегментация) - надо разбить все множество объектов на непересекающиеся подмножества (кластеры, сегменты), в которых объекты в каком-либо смысле похожи друг на друга.</w:t>
      </w:r>
    </w:p>
    <w:p w:rsidR="00000000" w:rsidDel="00000000" w:rsidP="00000000" w:rsidRDefault="00000000" w:rsidRPr="00000000">
      <w:pPr>
        <w:numPr>
          <w:ilvl w:val="1"/>
          <w:numId w:val="6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Нечеткая кластеризация, бикластеризация и т.д.</w:t>
      </w:r>
    </w:p>
    <w:p w:rsidR="00000000" w:rsidDel="00000000" w:rsidP="00000000" w:rsidRDefault="00000000" w:rsidRPr="00000000">
      <w:pPr>
        <w:numPr>
          <w:ilvl w:val="1"/>
          <w:numId w:val="6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Иерархическая кластеризация (Таксономия) - надо построить дерево подмножеств, в котором каждый последующий слой является измельчением предыдущего.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Задачи с частичным обучением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кроме прецедентной информации имеется информация о том, что некоторый набор объектов действительно существует и будет использован в ходе решения прикладной задачи. То есть для настройки алгоритма можно использовать прецедентную информацию и информацию о существовании данных объектов. (например: база данных фотографий, ищем фотографии с лицами)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Выявление отклонений, детектирование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>
      <w:pPr>
        <w:numPr>
          <w:ilvl w:val="1"/>
          <w:numId w:val="6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Выявление ошибок в данных - (“так не может быть”). Поступающая информация может содержать ошибки. (например: неисправность измерительного прибора)</w:t>
      </w:r>
    </w:p>
    <w:p w:rsidR="00000000" w:rsidDel="00000000" w:rsidP="00000000" w:rsidRDefault="00000000" w:rsidRPr="00000000">
      <w:pPr>
        <w:numPr>
          <w:ilvl w:val="1"/>
          <w:numId w:val="6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Выявление нетипичного поведения - (“так раньше не было”). Наша атомная электростанция раньше никогда не взрывалась. Мы не знаем, как выглядит станция, собирающаяся взорваться, но систему мониторинга создать должны.</w:t>
      </w:r>
    </w:p>
    <w:p w:rsidR="00000000" w:rsidDel="00000000" w:rsidP="00000000" w:rsidRDefault="00000000" w:rsidRPr="00000000">
      <w:pPr>
        <w:numPr>
          <w:ilvl w:val="1"/>
          <w:numId w:val="6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Устранение отклонений из обучения (фильтрация) - необходимо выявить те прецедентные данные, которые мешают качественно настроить модель.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Задачи восстановления пропусков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решение обычно сводится к задачам классификации или восстановления регрессии</w:t>
      </w:r>
    </w:p>
    <w:p w:rsidR="00000000" w:rsidDel="00000000" w:rsidP="00000000" w:rsidRDefault="00000000" w:rsidRPr="00000000">
      <w:pPr>
        <w:numPr>
          <w:ilvl w:val="1"/>
          <w:numId w:val="6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Заполнение пропусков в прецедентах - выбранный метод обучения модели требует, чтобы присутствовали все данные без пропусков.</w:t>
      </w:r>
    </w:p>
    <w:p w:rsidR="00000000" w:rsidDel="00000000" w:rsidP="00000000" w:rsidRDefault="00000000" w:rsidRPr="00000000">
      <w:pPr>
        <w:numPr>
          <w:ilvl w:val="1"/>
          <w:numId w:val="6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Заполнение пропусков в описаниях распознаваемых объектов - настроенная модель требует, чтобы во вновь приходящих на обработку описаниях не было пропусков.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Анализ наборов (не учитываем время транзакции)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Термин: анализ рыночной корзины</w:t>
      </w:r>
    </w:p>
    <w:p w:rsidR="00000000" w:rsidDel="00000000" w:rsidP="00000000" w:rsidRDefault="00000000" w:rsidRPr="00000000">
      <w:pPr>
        <w:numPr>
          <w:ilvl w:val="1"/>
          <w:numId w:val="6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Поиск популярных наборов (например: чай и мёд часто покупают вместе)</w:t>
      </w:r>
    </w:p>
    <w:p w:rsidR="00000000" w:rsidDel="00000000" w:rsidP="00000000" w:rsidRDefault="00000000" w:rsidRPr="00000000">
      <w:pPr>
        <w:numPr>
          <w:ilvl w:val="1"/>
          <w:numId w:val="6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Поиск ассоциативных правил (например: те, кто купил мёд, часто покупают чай)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Анализ последовательностей (учитываем время)</w:t>
      </w:r>
    </w:p>
    <w:p w:rsidR="00000000" w:rsidDel="00000000" w:rsidP="00000000" w:rsidRDefault="00000000" w:rsidRPr="00000000">
      <w:pPr>
        <w:numPr>
          <w:ilvl w:val="1"/>
          <w:numId w:val="6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Поиск последовательных правил (например: если сегодня купил принтер, то через месяц купит картридж)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Анализ формальных понятий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формализация описания понятия в виде пары (объём, содержание)</w:t>
      </w:r>
    </w:p>
    <w:p w:rsidR="00000000" w:rsidDel="00000000" w:rsidP="00000000" w:rsidRDefault="00000000" w:rsidRPr="00000000">
      <w:pPr>
        <w:numPr>
          <w:ilvl w:val="1"/>
          <w:numId w:val="6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Поиск формальных понятий</w:t>
      </w:r>
    </w:p>
    <w:p w:rsidR="00000000" w:rsidDel="00000000" w:rsidP="00000000" w:rsidRDefault="00000000" w:rsidRPr="00000000">
      <w:pPr>
        <w:numPr>
          <w:ilvl w:val="1"/>
          <w:numId w:val="6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Построение и анализ решёток понятий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Для задач снижения размерности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целевой признак отсутствует, в ней переходят от одних описаний к другим. Принято вводить невязку через метрику на пространстве описаний.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Типичный функционал качества агрегирует множество невязок между исходными и новыми описаниями.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Основные модели данных в ИАД. Признаковое описание объекта.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Данные могут быть гомогенными - т.е. однородными, и гетерогенными, т.е. неоднородными.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Модели для задания исходных данных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(в целом все они конвертируемы из одной в другую)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 Matrix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(признаковое описание) (матрица значений атрибутов каждого объекта) – объекты гомогенные (однотипные).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Multi Dimensional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- Матрица Кросс-сочетания. – это n-мерный куб, получаемый за счёт декартова произведения матриц с некоторыми атрибутами (например, &lt;simpson vs not simpson x male vs female x child vs adult&gt;)</w:t>
      </w:r>
    </w:p>
    <w:p w:rsidR="00000000" w:rsidDel="00000000" w:rsidP="00000000" w:rsidRDefault="00000000" w:rsidRPr="00000000">
      <w:pPr>
        <w:spacing w:line="240" w:lineRule="auto"/>
        <w:ind w:left="144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каждой ячейке этой матрицы находятся объекты, которые обладают соответствующими признаками.</w:t>
      </w:r>
    </w:p>
    <w:p w:rsidR="00000000" w:rsidDel="00000000" w:rsidP="00000000" w:rsidRDefault="00000000" w:rsidRPr="00000000">
      <w:pPr>
        <w:spacing w:line="240" w:lineRule="auto"/>
        <w:ind w:left="144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Показатель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это функция от множества объектов из ячейки.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spacing w:after="0" w:before="0" w:line="240" w:lineRule="auto"/>
        <w:ind w:left="1440" w:right="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Similarity Tensor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Используются гетерогенные объекты (т.е. разного типа)</w:t>
      </w:r>
    </w:p>
    <w:p w:rsidR="00000000" w:rsidDel="00000000" w:rsidP="00000000" w:rsidRDefault="00000000" w:rsidRPr="00000000">
      <w:pPr>
        <w:spacing w:line="240" w:lineRule="auto"/>
        <w:ind w:left="144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Таблица (аналитическое пространство (тензор)) задаёт взаимодействие между конкретными объектами попарно. (т.е. фактически нам даны оценки похожести разнотипных объектов)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spacing w:after="0" w:before="0" w:line="240" w:lineRule="auto"/>
        <w:ind w:left="1440" w:right="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Transactional 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Формальный контекст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(когда носители типа bool) /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Транзакционные данные</w:t>
      </w:r>
    </w:p>
    <w:p w:rsidR="00000000" w:rsidDel="00000000" w:rsidP="00000000" w:rsidRDefault="00000000" w:rsidRPr="00000000">
      <w:pPr>
        <w:spacing w:line="240" w:lineRule="auto"/>
        <w:ind w:left="144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Пусть у предметной области есть понятие «элемент» и «носитель».</w:t>
      </w:r>
    </w:p>
    <w:p w:rsidR="00000000" w:rsidDel="00000000" w:rsidP="00000000" w:rsidRDefault="00000000" w:rsidRPr="00000000">
      <w:pPr>
        <w:spacing w:line="240" w:lineRule="auto"/>
        <w:ind w:left="144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каждому носителю соответствует некоторое количество элементов (называемое «транзакция» - это множество (дубликаты отсутствуют))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Основные модели данных в ИАД. Многомерная модель.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72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Основные модели данных в ИАД - см. вопрос 2 теормина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72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72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Многомерная модель 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Multi Dimensinal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72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Информация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многомерной модели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представляется в виде многомерных массивов, называемых гиперкубами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В одной базе данных, построенной на многомерной модели, может храниться множество таких кубов, на основе которых можно проводить совместный анализ показателей. Конечный пользователь в качестве внешней модели данных получает для анализа определенные срезы или проекции кубов, представляемые в виде обычных двумерных таблиц или графиков.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72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клетках этого многомерного куба находятся объекты, обладающие соответствующими признаками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72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Большинство систем OLAP (Online Analytical Processing) – используют такое представление.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Детализация кросс-таблицы называется Drill Down.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показателей (значений ячеек), могут быть функции агрегирования (подсчёт показателя для объединённых ячеек).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Пример полу-агрегируемого показателя – «первый объект множества».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72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Основные модели данных в ИАД. Многомерная модель. Понятие и видах агрегируемости показателей.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Основные модели данных в ИАД - см. вопрос 2 теормина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принципе про агрегируемые показатели написано в предыдущем вопросе, хотя это маловато.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Агрегирование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данных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aggregation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процесс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сбора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обработки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представления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информации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окончательном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виде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Агрегирование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данных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основном выполняется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отчетов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выработки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политики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управления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здравоохранением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научных исследований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статистического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изучения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здоровья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населения.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Агрегация данных может происходить с использованием нескольких стандартных функций: сумма, минимум, максимум, среднее, количество.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Основные модели данных в ИАД. Тензоры сходства, графы взаимодействия.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Основные модели данных в ИАД - см. вопрос 2 теормина.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48"/>
          <w:szCs w:val="48"/>
          <w:rtl w:val="0"/>
        </w:rPr>
        <w:t xml:space="preserve">ТЕНЗОРЫ СХОДСТВА что это вообще?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глянь similarity tensor из 2-го вопроса, что то связанное с этим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проблема в том, что гугл не знает такого ни (similarity tensor) ни (тензор сходства).</w:t>
        <w:tab/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Основные модели данных в ИАД. Транзакционные данные. Формальные контексты.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Основные модели данных в ИАД - см. вопрос 2 теормина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Фундаментальные задачи ИАД. Задача классификации. Задача восстановления регрессии.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Фундоментальные задачи ИАД - см вопрос 1 теормина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Тут нужно писать сжато, в вопросе 1 уже написано. 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Чтобы во всем этом ЛЕГКО разобраться - первые 4 страницы лекции Майсурадзе: 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 Качество классификации (original).pptx 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отсюда 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https://drive.google.com/folderview?id=0B0X-oQW4pjUUeUY3eE05TDU0Ujg&amp;usp=sharing&amp;tid=0B0X-oQW4pjUUajBvRjVvNVEyMVU#list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Либо вопрос №7 из билетов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Фундаментальные задачи ИАД. Задача кластерного анализа.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Фундоментальные задачи ИАД - см вопрос 1 теормина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72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spacing w:after="0" w:before="0" w:line="240" w:lineRule="auto"/>
        <w:ind w:left="1440" w:right="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Исторически возникла из задачи группировки схожих объектов в единую структуру (кластер) с последующим выявлением общих черт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spacing w:after="0" w:before="0" w:line="240" w:lineRule="auto"/>
        <w:ind w:left="1440" w:right="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классической задаче кластеризации обучающая выборка представляет собой набор отдельных объектов </w:t>
      </w:r>
      <w:r w:rsidDel="00000000" w:rsidR="00000000" w:rsidRPr="00000000">
        <w:drawing>
          <wp:inline distB="114300" distT="114300" distL="114300" distR="114300">
            <wp:extent cx="1343025" cy="361950"/>
            <wp:effectExtent b="0" l="0" r="0" t="0"/>
            <wp:docPr id="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361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характеризующихся вектором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ещественнозначных признаков </w:t>
      </w:r>
      <w:r w:rsidDel="00000000" w:rsidR="00000000" w:rsidRPr="00000000">
        <w:drawing>
          <wp:inline distB="114300" distT="114300" distL="114300" distR="114300">
            <wp:extent cx="1876425" cy="333375"/>
            <wp:effectExtent b="0" l="0" r="0" t="0"/>
            <wp:docPr id="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spacing w:after="0" w:before="0" w:line="240" w:lineRule="auto"/>
        <w:ind w:left="1440" w:right="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Требуется постросить алгоритм (кластеризатор), который разбил бы выборку на непересекающиеся группы (кластеры) </w:t>
      </w:r>
      <w:r w:rsidDel="00000000" w:rsidR="00000000" w:rsidRPr="00000000">
        <w:drawing>
          <wp:inline distB="114300" distT="114300" distL="114300" distR="114300">
            <wp:extent cx="4695825" cy="390525"/>
            <wp:effectExtent b="0" l="0" r="0" t="0"/>
            <wp:docPr id="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spacing w:after="0" w:before="0" w:line="240" w:lineRule="auto"/>
        <w:ind w:left="1440" w:right="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каждый класс должны попасть объекты в некотором смысле похожие друг на друга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720" w:right="0" w:firstLine="0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2870805" cy="1443038"/>
            <wp:effectExtent b="0" l="0" r="0" t="0"/>
            <wp:docPr id="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0805" cy="1443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72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Рис. 1.3. Пример задачи кластеризации. Звездочками обозначены прецеденты. Группы объектов, обведенные кружками, образуют отдельные кластеры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72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720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Примеры задач кластерного анализа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720" w:right="0"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Экономическая география: по физико-географическим и экономическим показателям разбить страны мира на группы схожих по экономическому положению государств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720" w:right="0"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Финансовая сфера: по сводкам банковских операций выявить группы «подозрительных», нетипичных банков, сгуппировать остальные по степени близости проводимой стратегии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720" w:right="0"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Маркетинг: по результатам маркетинговых исследований среди множества потребителей выделить характерные группы по степени интереса к продвигаемому продукту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720" w:right="0"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Социология: по результатам социологических опросов выявить группы общественных проблем, вызывающих схожую реакцию у общества, а также характерные фокус-группы населения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 w:firstLine="7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Фундаментальные задачи ИАД. Задача сокращения размерности.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Фундоментальные задачи ИАД - см вопрос 1 теормина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Для задач снижения размерности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целевой признак отсутствует, в ней переходят от одних описаний к другим. Принято вводить невязку через метрику на пространстве описаний.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Типичный функционал качества агрегирует множество невязок между исходными и новыми описаниями.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Обобщающая способность.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Обобщающая способность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точность алгоритма прогнозирования на всевозможных новых, не использованных для обучения объектах, т.е. это точность по всей генеральной совокупности.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Мерой обобщающей способности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явяется математическое ожидание потерь по всей генеральной совокупности.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Цель задачи прогнозирования - максимизация обобщающей способности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Но нужно понимать, что подсчитать её достаточно проблематично, т.к. обобщающая способность определяется через множество всей генеральной совокупности.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Принцип  минимизации эмпирического риска.</w:t>
      </w:r>
    </w:p>
    <w:p w:rsidR="00000000" w:rsidDel="00000000" w:rsidP="00000000" w:rsidRDefault="00000000" w:rsidRPr="00000000">
      <w:pPr>
        <w:spacing w:after="120" w:before="80"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Эмпирический риск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(Empirical Risk) — это средняя величина ошибки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алгоритма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обучающей выборке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80"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Метод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минимизации эмпирического риска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(Empirical Risk Minimization, ERM) — это общий подход к решению широкого класса задач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обучения по прецедентам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в первую очередь — задач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обучения с учителем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включая задачи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классификации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регрессии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>
      <w:pPr>
        <w:spacing w:after="120" w:before="80"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Более формально:</w:t>
      </w:r>
    </w:p>
    <w:p w:rsidR="00000000" w:rsidDel="00000000" w:rsidP="00000000" w:rsidRDefault="00000000" w:rsidRPr="00000000">
      <w:pPr>
        <w:spacing w:after="120" w:before="80"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Эмпирический риск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это функционал качества, характеризующий среднюю ошибку алгоритма </w:t>
      </w:r>
      <w:r w:rsidDel="00000000" w:rsidR="00000000" w:rsidRPr="00000000">
        <w:drawing>
          <wp:inline distB="114300" distT="114300" distL="114300" distR="114300">
            <wp:extent cx="76200" cy="76200"/>
            <wp:effectExtent b="0" l="0" r="0" t="0"/>
            <wp:docPr descr="a" id="11" name="image27.gif"/>
            <a:graphic>
              <a:graphicData uri="http://schemas.openxmlformats.org/drawingml/2006/picture">
                <pic:pic>
                  <pic:nvPicPr>
                    <pic:cNvPr descr="a" id="0" name="image27.gif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 выборке </w:t>
      </w:r>
      <w:r w:rsidDel="00000000" w:rsidR="00000000" w:rsidRPr="00000000">
        <w:drawing>
          <wp:inline distB="114300" distT="114300" distL="114300" distR="114300">
            <wp:extent cx="304800" cy="152400"/>
            <wp:effectExtent b="0" l="0" r="0" t="0"/>
            <wp:docPr descr="X^m" id="4" name="image12.gif"/>
            <a:graphic>
              <a:graphicData uri="http://schemas.openxmlformats.org/drawingml/2006/picture">
                <pic:pic>
                  <pic:nvPicPr>
                    <pic:cNvPr descr="X^m" id="0" name="image12.gif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>
      <w:pPr>
        <w:spacing w:after="260" w:before="80" w:line="240" w:lineRule="auto"/>
        <w:ind w:left="1520" w:firstLine="0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2514600" cy="438150"/>
            <wp:effectExtent b="0" l="0" r="0" t="0"/>
            <wp:docPr descr="Q(a,X^m) = \frac{1}{m} \sum_{i=1}^m {\mathcal L}(a(x_i),y^{*}(x_i))." id="10" name="image25.gif"/>
            <a:graphic>
              <a:graphicData uri="http://schemas.openxmlformats.org/drawingml/2006/picture">
                <pic:pic>
                  <pic:nvPicPr>
                    <pic:cNvPr descr="Q(a,X^m) = \frac{1}{m} \sum_{i=1}^m {\mathcal L}(a(x_i),y^{*}(x_i))." id="0" name="image25.gif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438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80" w:line="240" w:lineRule="auto"/>
        <w:ind w:left="72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Метод минимизация эмпирического риска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заключается в том, чтобы в заданной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модели алгоритмов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drawing>
          <wp:inline distB="114300" distT="114300" distL="114300" distR="114300">
            <wp:extent cx="152400" cy="114300"/>
            <wp:effectExtent b="0" l="0" r="0" t="0"/>
            <wp:docPr descr="A" id="21" name="image44.gif"/>
            <a:graphic>
              <a:graphicData uri="http://schemas.openxmlformats.org/drawingml/2006/picture">
                <pic:pic>
                  <pic:nvPicPr>
                    <pic:cNvPr descr="A" id="0" name="image44.gif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найти алгоритм, доставляющий минимальное значение функционалу эмпирического риска:</w:t>
      </w:r>
    </w:p>
    <w:p w:rsidR="00000000" w:rsidDel="00000000" w:rsidP="00000000" w:rsidRDefault="00000000" w:rsidRPr="00000000">
      <w:pPr>
        <w:spacing w:after="260" w:before="80" w:line="240" w:lineRule="auto"/>
        <w:ind w:left="1520" w:firstLine="0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1600200" cy="276225"/>
            <wp:effectExtent b="0" l="0" r="0" t="0"/>
            <wp:docPr descr="a = \mathrm{arg}\min_{a\in A} Q(a,X^m)." id="17" name="image40.gif"/>
            <a:graphic>
              <a:graphicData uri="http://schemas.openxmlformats.org/drawingml/2006/picture">
                <pic:pic>
                  <pic:nvPicPr>
                    <pic:cNvPr descr="a = \mathrm{arg}\min_{a\in A} Q(a,X^m)." id="0" name="image40.gif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76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Методы оценивания обобщающей способности. Скользящий контроль.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4591050" cy="1819275"/>
            <wp:effectExtent b="0" l="0" r="0" t="0"/>
            <wp:docPr id="7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819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3971925" cy="1057275"/>
            <wp:effectExtent b="0" l="0" r="0" t="0"/>
            <wp:docPr id="9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057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4600575" cy="2171700"/>
            <wp:effectExtent b="0" l="0" r="0" t="0"/>
            <wp:docPr id="12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4486275" cy="1800225"/>
            <wp:effectExtent b="0" l="0" r="0" t="0"/>
            <wp:docPr id="20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Регрессионный анализ. Метод наименьших квадратов (МНК).  Простая одномерная регрессия.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Распространённым средством решения задач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прогнозирования непрерывной величины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 переменным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, . . . , X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является использование метода множественной линейной регрессии. В данном методе связь переменной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 переменными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, . . . , X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задаётся с помощью линейной модели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. . 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где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, 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, . . . , 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вещественные регрессионные коэффициенты,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ε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случайная величина, являющаяся ошибкой прогнозирования.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Традиционным способом поиска регрессионных коэффициентов является метод наименьших квадратов (МНК). МНК заключается в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минимизации функционала эмпирического риска с квадратичными потерями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3205163" cy="480036"/>
            <wp:effectExtent b="0" l="0" r="0" t="0"/>
            <wp:docPr id="24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5163" cy="4800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4357688" cy="1018323"/>
            <wp:effectExtent b="0" l="0" r="0" t="0"/>
            <wp:docPr id="15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57688" cy="10183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Рассмотрим простейший вариант линейной регрессии, описывающей связь между переменной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 единственной переменной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β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β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ε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Функционал эмпирического риска на выборке ˜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{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, x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, . . . 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, x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}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принимает вид:</w:t>
      </w:r>
      <w:r w:rsidDel="00000000" w:rsidR="00000000" w:rsidRPr="00000000">
        <w:drawing>
          <wp:inline distB="114300" distT="114300" distL="114300" distR="114300">
            <wp:extent cx="2671763" cy="550725"/>
            <wp:effectExtent b="0" l="0" r="0" t="0"/>
            <wp:docPr id="19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1763" cy="550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Необходимым условием минимума функционала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, β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, β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является равенство 0 </w:t>
      </w:r>
      <w:r w:rsidDel="00000000" w:rsidR="00000000" w:rsidRPr="00000000">
        <w:drawing>
          <wp:inline distB="114300" distT="114300" distL="114300" distR="114300">
            <wp:extent cx="980216" cy="442913"/>
            <wp:effectExtent b="0" l="0" r="0" t="0"/>
            <wp:docPr id="1" name="image06.png"/>
            <a:graphic>
              <a:graphicData uri="http://schemas.openxmlformats.org/drawingml/2006/picture">
                <pic:pic>
                  <pic:nvPicPr>
                    <pic:cNvPr id="0" name="image06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0216" cy="442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drawing>
          <wp:inline distB="114300" distT="114300" distL="114300" distR="114300">
            <wp:extent cx="881063" cy="367109"/>
            <wp:effectExtent b="0" l="0" r="0" t="0"/>
            <wp:docPr id="13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1063" cy="3671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Отсюда: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2995613" cy="1087051"/>
            <wp:effectExtent b="0" l="0" r="0" t="0"/>
            <wp:docPr id="22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5613" cy="10870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Выражение для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ˆ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может быть переписано в виде: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1406858" cy="471488"/>
            <wp:effectExtent b="0" l="0" r="0" t="0"/>
            <wp:docPr id="23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6858" cy="471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где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Cov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Y, X | 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 является выборочной ковариацией переменных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и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X | 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 является выборочной дисперсией переменной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Множественная линейная регрессия. Недостатки МНК.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 вычислении оценки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вектора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параметров  B = (B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…,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в случае многомерной линейной регрессии удобно использовать матрицу плана X размера m × (n + 1) , которая строится по обучающей выборке ˜ S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Матрица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плана имеет вид 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2110873" cy="1014413"/>
            <wp:effectExtent b="0" l="0" r="0" t="0"/>
            <wp:docPr id="6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0873" cy="1014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То есть j-я строка матрицы плана представляет собой вектор значений переменных X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… ,X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для объекта s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j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 одной добавленной слева компонентой, содержащей 1.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Пусть y = (y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… 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- вектор значений переменной Y . Связь Y с переменными X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… 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 объектах обучающей выборки может быть описана с помощью матричного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уравнения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2105025" cy="657225"/>
            <wp:effectExtent b="0" l="0" r="0" t="0"/>
            <wp:docPr id="14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где e= (e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… 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- вектор ошибок прогнозирования для объектов ˜ S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Функционал Q( ˜ St; B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B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… , B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может быть записан в виде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4460214" cy="785813"/>
            <wp:effectExtent b="0" l="0" r="0" t="0"/>
            <wp:docPr id="16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60214" cy="78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Одним из главных недостатков МНК является устойчивость этого метода, что плохо сказывается в некоторых случаях на обобщающей способности.  Причина низкой устойчивости - мультиколлинеарность. Данное явление возникает при сильной коррелированности одной из переменных выборки с какой-либо линейной комбинацией других переменных. (Слайды 16-17 3 Лекция Сенько)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Использование методов регуляризации.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Регуляризация используется для избавления МНК от недостатков (в плане устойчивости).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этого включают дополнительную шумовую компоненту в исходный оптимизируемый функционал.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Типы регуляризаций: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1"/>
        </w:numPr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регуляризация по Тихонову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добавление штрафной компоненты к оптимизируемому функционалу (по формулам там была модификация значений признаков объектов)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1"/>
        </w:numPr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гребневая регрессия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(ridge) - добавляет сумму квадратов регрессионных компонентов к функционалу (это приводит к положительности дискриминанта и улучшается устойчивость)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1"/>
        </w:numPr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метод лассо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добавляет модули регрессионных компонент к функционалу (делает отбор переменных (т.к. некоторые регрессионные переменные приравниваются к 0) и применение на маленьких выборках возможным) (при высокой корреляции некоторых переменных, на практике метод лассо ухудшает свои показатели)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1"/>
        </w:numPr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эластичная сеть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добавление суммы квадрата регрессионных компонент с коэффициентом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θ и модуля регрессионных компонент с коэффициентом (1-θ)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(вбирает все лучшее из первых двух).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Методы распознавания. Что такое байесовский классификатор? Байесовские методы в распознавании.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52525"/>
          <w:highlight w:val="white"/>
          <w:rtl w:val="0"/>
        </w:rPr>
        <w:t xml:space="preserve">Распознавание</w:t>
      </w:r>
      <w:r w:rsidDel="00000000" w:rsidR="00000000" w:rsidRPr="00000000">
        <w:rPr>
          <w:rFonts w:ascii="Times New Roman" w:cs="Times New Roman" w:eastAsia="Times New Roman" w:hAnsi="Times New Roman"/>
          <w:color w:val="252525"/>
          <w:highlight w:val="white"/>
          <w:rtl w:val="0"/>
        </w:rPr>
        <w:t xml:space="preserve"> — это отнесение исходных данных к определенному классу с помощью выделения существенных признаков, характеризующих эти данные, из общей массы несущественных данных.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Байесовский классификатор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Относит объект в тот класс, для которого условная вероятность P(класс i | x) максимальна. (при решении как правило нужно считать по формуле Байеса).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Байесовский подход к классификации основан на теореме, утверждающей, что если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плотности распределения каждого из классов известны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то искомый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алгоритм можно выписать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явном аналитическом виде. Более того, этот алгоритм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оптимален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то есть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обладает минимальной вероятностью ошибок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Метод k-ближайших соседей.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15" w:right="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Алгоритм классификации объектов. Оценка условных вероятностей P(K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 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x) ведётся по ближайшей окрестности точки x, содержащей k признаковых описаний объектов обучающей выборки (k соседних объектов). В качестве оценки выступает отношение k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/k , где k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число признаковых описаний объектов обучающей выборки из класса K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внутри рассматриваемой окрестности точки x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т.е. в итоге объект присваивается тому классу, который является наиболее распространённым среди соседей данного элемента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 Окрестность задаётся с помощью функции расстояния ρ(x, x) заданной на декартовом произведении X×X , где X - область допустимых значений признаковых описаний. В качестве функции расстояния может быть использована стандартная эвклидова метрика или метрика Хэмминга в случае с бинарными признаками. Единственным параметром для настройки является число соседей (k).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Комбинаторно-логические методы . Тупиковый тест. Представительный набор.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(Тут надо полагаться на покрытия и тесты, представлением элементов вектором признаков)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Принцип частичной прецедентности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При распознании диагностике важны некоторые комбинации (а именно конкретные наборы, а не целые классы)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Тест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это набор признаков, позволяющих разделить классы. (т.е. любые 2 объекта из любых 2-х классов отличаются хотя бы по одному признаку из теста)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Тупиковый тест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тест, из которого нельзя удалить ни один из признаков.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Выбор класса при классификации происходит на основании голосования по тесту (учёт совпавших признаков, причём могут учитываться какие-то веса)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Поиск теста – это задача о покрытии, NP-трудная.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Алгоритм типа Кора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когда ищется не только набор признаков, но набор признаков со своим описанием.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Представительный набор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набор описания (зафиксированные признаки), которого присутствуют только в одном классе.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Из существования теста следует существование набора, но не наоборот.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Алгоритм вычисления оценок.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Выделяется множество подмножеств, которое называется 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система опорных векторов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».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Функция близости сравнивает 2 объекта по некоторому опорному множеству. (например =1 если все признаки совпали, или =0 если нет (а может учитываться какой-то порог, …))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Модель нейрона. Перцептрон Розенблатта.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1758187" cy="1128713"/>
            <wp:effectExtent b="0" l="0" r="0" t="0"/>
            <wp:docPr descr="Single_layer_perceptron.png" id="18" name="image41.png"/>
            <a:graphic>
              <a:graphicData uri="http://schemas.openxmlformats.org/drawingml/2006/picture">
                <pic:pic>
                  <pic:nvPicPr>
                    <pic:cNvPr descr="Single_layer_perceptron.png" id="0" name="image41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8187" cy="1128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Нейрон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- некоторая сущность, которая суммирует входящие сигналы с учётом весов, применяет к результату активационную функцию и выдаёт результат на выход.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Сигналы, приходящие на вход перцептронов рецепторов интерпретируются как входные признаки.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u w:val="single"/>
          <w:rtl w:val="0"/>
        </w:rPr>
        <w:t xml:space="preserve">3 типа нейронов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: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нейроны-рецепторы (сенсоры)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внутренние нейроны - имеет множество входных связей от рецепторов или внутренних нейронов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реагирующие нейроны - имеет множество входных связей от рецепторов или внутренних нейронов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Все сигналы, входящие в нейрон обрабатываются: z = w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vertAlign w:val="subscript"/>
          <w:rtl w:val="0"/>
        </w:rPr>
        <w:t xml:space="preserve">0</w:t>
      </w:r>
      <w:r w:rsidDel="00000000" w:rsidR="00000000" w:rsidRPr="00000000">
        <w:rPr>
          <w:rFonts w:ascii="Nova Mono" w:cs="Nova Mono" w:eastAsia="Nova Mono" w:hAnsi="Nova Mono"/>
          <w:highlight w:val="white"/>
          <w:rtl w:val="0"/>
        </w:rPr>
        <w:t xml:space="preserve"> + ∑w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vertAlign w:val="subscript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vertAlign w:val="subscript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, после чего применяется активационная функция Ф(z) - и это значение становится результатом нейрона и выдаётся другим нейронам (один сигнал с выхода может передаваться многим другим на вход) (u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vertAlign w:val="subscript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- значения с других нейронов, w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vertAlign w:val="subscript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- веса внутри нейрона, w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- параметр сдвига)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Перцептрон Роззенблатта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(1957) - нейросетевая модель с одним единственным нейроном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Используется для задачи распознавания с 2-мя классами, активационная функция Ф=1, если z&gt;=0, Ф= -1, если z&lt;0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Особенность перцептрона - простая и эффективная процедура обучения (вычисления w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vertAlign w:val="subscript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)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Настройка параметра происходит по обучающей выборке. (предварительно признаковое описание преобразуется в векторные сигналы, а затем вектора описаний из класса K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умножаются на -1, а из K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не меняются)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left="72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Многослойный перцептрон. Методы обучения.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Многослойный перцептрон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нейросетевые методы распознавания, задаваемые комбинациями связанных между собой нейронов.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Обладает существенно более высокой аппроксимирующей способностью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Обычно сеть формируется в виде слоёв: слои внутренних нейронов осуществляют преобразование сигналов. Слой реагирующих нейронов производит окончательную классификацию объектов на основании сигналов, поступающих от нейронов, принадлежащих внутренним слоям.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Обычно соблюдаются следующие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правила формирования структуры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>
      <w:pPr>
        <w:numPr>
          <w:ilvl w:val="0"/>
          <w:numId w:val="9"/>
        </w:numPr>
        <w:spacing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Допускаются связи между только между нейронами, находящимися в соседних слоях.</w:t>
      </w:r>
    </w:p>
    <w:p w:rsidR="00000000" w:rsidDel="00000000" w:rsidP="00000000" w:rsidRDefault="00000000" w:rsidRPr="00000000">
      <w:pPr>
        <w:numPr>
          <w:ilvl w:val="0"/>
          <w:numId w:val="9"/>
        </w:numPr>
        <w:spacing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Связи между нейронами внутри одного слоя отсутствуют.</w:t>
      </w:r>
    </w:p>
    <w:p w:rsidR="00000000" w:rsidDel="00000000" w:rsidP="00000000" w:rsidRDefault="00000000" w:rsidRPr="00000000">
      <w:pPr>
        <w:numPr>
          <w:ilvl w:val="0"/>
          <w:numId w:val="9"/>
        </w:numPr>
        <w:spacing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Активационные функции для всех внутренних нейронов идентичны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решения задачи распознавания с L классами используется конфигруация с L реагирующими нейронами.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Сигналы вычисляемые на выходе реагирующих нейронов, интерпретируются как оценки за классы.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Процедура обучения перцептрона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(одного)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Случайно выбирается нулевое приближение вектора весовых коэффициентов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Преобразованные описания обучающей выборки последовательно передаются на вход перцептрона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Если писание x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(k)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поданное на k-м шаге классифицируется неправильно, то происходит коррекция w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(k+1)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= w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(k)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+ x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(k)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если классификация верна, то ничего не меняется.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Повторяем до тех пор, пока:</w:t>
      </w:r>
    </w:p>
    <w:p w:rsidR="00000000" w:rsidDel="00000000" w:rsidP="00000000" w:rsidRDefault="00000000" w:rsidRPr="00000000">
      <w:pPr>
        <w:numPr>
          <w:ilvl w:val="1"/>
          <w:numId w:val="5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достигается полное разделение объектов из классов K1 и K2</w:t>
      </w:r>
    </w:p>
    <w:p w:rsidR="00000000" w:rsidDel="00000000" w:rsidP="00000000" w:rsidRDefault="00000000" w:rsidRPr="00000000">
      <w:pPr>
        <w:numPr>
          <w:ilvl w:val="1"/>
          <w:numId w:val="5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повторение подряд заданного числа операций не приводит к улучшению разделения</w:t>
      </w:r>
    </w:p>
    <w:p w:rsidR="00000000" w:rsidDel="00000000" w:rsidP="00000000" w:rsidRDefault="00000000" w:rsidRPr="00000000">
      <w:pPr>
        <w:numPr>
          <w:ilvl w:val="1"/>
          <w:numId w:val="5"/>
        </w:numPr>
        <w:spacing w:line="240" w:lineRule="auto"/>
        <w:ind w:left="144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оказывается исчерпанный заранее заданный лимит итераций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Процедура обучения многослойного перцептрона 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метод обратного распространения ошибки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Потери классификации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объекта будем считать как сумму квадрата разности между выходом реагирующего нейрона и тем, что он должен был выдать (т.е. 0, когда объект не принадлежит классу, и 1, иначе)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Качество аппроксимации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обучающей выборке - это сумма потерь для каждого объекта выборки. (веса фиксированны). Цель - подобрать такие веса, чтобы улучшить качество аппроксимации.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Основа обучения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метод градиентного спуска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Метод градиентного спуска - оптимизирует произвольный функционал F(θ), θ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(k)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= θ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(k-1)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+ n * grad(F(θ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(k-1)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))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 - парамер, задающий размер каждого шага (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learning rate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Процедура обучения - такая же как и для одного перцептрона, за исключением того, как именно изменяются веса. Они меняются в соответствии с методом градиентного спуска: там простыми расчётами выводится градиент, и потом оно от нижнего слоя к верхнему по цепочке может распространяться, при этом для подсчёта градиента - сложность линейна.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Метод опорных векторов. Основные понятия. Возможность нелинейного разделения.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52525"/>
          <w:highlight w:val="white"/>
          <w:rtl w:val="0"/>
        </w:rPr>
        <w:t xml:space="preserve">Основная идея метода</w:t>
      </w:r>
      <w:r w:rsidDel="00000000" w:rsidR="00000000" w:rsidRPr="00000000">
        <w:rPr>
          <w:rFonts w:ascii="Times New Roman" w:cs="Times New Roman" w:eastAsia="Times New Roman" w:hAnsi="Times New Roman"/>
          <w:color w:val="252525"/>
          <w:highlight w:val="white"/>
          <w:rtl w:val="0"/>
        </w:rPr>
        <w:t xml:space="preserve"> — перевод исходных векторов в пространство более высокой размерности и поиск разделяющей гиперплоскости с максимальным зазором в этом пространстве. 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252525"/>
          <w:highlight w:val="white"/>
          <w:rtl w:val="0"/>
        </w:rPr>
        <w:t xml:space="preserve">Две параллельных гиперплоскости строятся по обеим сторонам гиперплоскости, разделяющей наши классы.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52525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52525"/>
          <w:rtl w:val="0"/>
        </w:rPr>
        <w:t xml:space="preserve">Разделяющей гиперплоскостью</w:t>
      </w:r>
      <w:r w:rsidDel="00000000" w:rsidR="00000000" w:rsidRPr="00000000">
        <w:rPr>
          <w:rFonts w:ascii="Times New Roman" w:cs="Times New Roman" w:eastAsia="Times New Roman" w:hAnsi="Times New Roman"/>
          <w:color w:val="252525"/>
          <w:highlight w:val="white"/>
          <w:rtl w:val="0"/>
        </w:rPr>
        <w:t xml:space="preserve"> будет гиперплоскость, максимизирующая расстояние до двух параллельных гиперплоскостей. Алгоритм работает в предположении, что чем больше разница или расстояние между этими параллельными гиперплоскостями, тем меньше будет средняя ошибка классификатора.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Методы решающих деревьев и решающих лесов.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52525"/>
          <w:highlight w:val="white"/>
          <w:rtl w:val="0"/>
        </w:rPr>
        <w:t xml:space="preserve">Decision tree </w:t>
      </w:r>
      <w:r w:rsidDel="00000000" w:rsidR="00000000" w:rsidRPr="00000000">
        <w:rPr>
          <w:rFonts w:ascii="Times New Roman" w:cs="Times New Roman" w:eastAsia="Times New Roman" w:hAnsi="Times New Roman"/>
          <w:color w:val="252525"/>
          <w:highlight w:val="white"/>
          <w:rtl w:val="0"/>
        </w:rPr>
        <w:t xml:space="preserve">cредство поддержки принятия решений, использующееся в статистике и анализе данных для прогнозных моделей.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252525"/>
          <w:highlight w:val="white"/>
          <w:rtl w:val="0"/>
        </w:rPr>
        <w:t xml:space="preserve">На ребрах («ветках») дерева решения записаны </w:t>
      </w:r>
      <w:r w:rsidDel="00000000" w:rsidR="00000000" w:rsidRPr="00000000">
        <w:rPr>
          <w:rFonts w:ascii="Times New Roman" w:cs="Times New Roman" w:eastAsia="Times New Roman" w:hAnsi="Times New Roman"/>
          <w:color w:val="252525"/>
          <w:highlight w:val="white"/>
          <w:u w:val="single"/>
          <w:rtl w:val="0"/>
        </w:rPr>
        <w:t xml:space="preserve">атрибуты</w:t>
      </w:r>
      <w:r w:rsidDel="00000000" w:rsidR="00000000" w:rsidRPr="00000000">
        <w:rPr>
          <w:rFonts w:ascii="Times New Roman" w:cs="Times New Roman" w:eastAsia="Times New Roman" w:hAnsi="Times New Roman"/>
          <w:color w:val="252525"/>
          <w:highlight w:val="white"/>
          <w:rtl w:val="0"/>
        </w:rPr>
        <w:t xml:space="preserve">, от которых зависит </w:t>
      </w:r>
      <w:r w:rsidDel="00000000" w:rsidR="00000000" w:rsidRPr="00000000">
        <w:rPr>
          <w:rFonts w:ascii="Times New Roman" w:cs="Times New Roman" w:eastAsia="Times New Roman" w:hAnsi="Times New Roman"/>
          <w:color w:val="252525"/>
          <w:highlight w:val="white"/>
          <w:u w:val="single"/>
          <w:rtl w:val="0"/>
        </w:rPr>
        <w:t xml:space="preserve">целевая функция</w:t>
      </w:r>
      <w:r w:rsidDel="00000000" w:rsidR="00000000" w:rsidRPr="00000000">
        <w:rPr>
          <w:rFonts w:ascii="Times New Roman" w:cs="Times New Roman" w:eastAsia="Times New Roman" w:hAnsi="Times New Roman"/>
          <w:color w:val="252525"/>
          <w:highlight w:val="white"/>
          <w:rtl w:val="0"/>
        </w:rPr>
        <w:t xml:space="preserve">, в «листьях» записаны значения целевой функции, а в остальных узлах — атрибуты, по которым различаются случаи. Чтобы классифицировать новый случай, надо спуститься по дереву до листа и выдать соответствующее значение.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252525"/>
          <w:highlight w:val="white"/>
          <w:rtl w:val="0"/>
        </w:rPr>
        <w:t xml:space="preserve">При анализе решений «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52525"/>
          <w:highlight w:val="white"/>
          <w:rtl w:val="0"/>
        </w:rPr>
        <w:t xml:space="preserve">дерево решений</w:t>
      </w:r>
      <w:r w:rsidDel="00000000" w:rsidR="00000000" w:rsidRPr="00000000">
        <w:rPr>
          <w:rFonts w:ascii="Times New Roman" w:cs="Times New Roman" w:eastAsia="Times New Roman" w:hAnsi="Times New Roman"/>
          <w:color w:val="252525"/>
          <w:highlight w:val="white"/>
          <w:rtl w:val="0"/>
        </w:rPr>
        <w:t xml:space="preserve">» используются как визуальный и аналитический инструмент поддержки принятия решений, где рассчитываются ожидаемые значения (или ожидаемая полезность) конкурирующих альтернатив. 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52525"/>
          <w:highlight w:val="white"/>
          <w:rtl w:val="0"/>
        </w:rPr>
        <w:t xml:space="preserve">Random forest</w:t>
      </w:r>
      <w:r w:rsidDel="00000000" w:rsidR="00000000" w:rsidRPr="00000000">
        <w:rPr>
          <w:rFonts w:ascii="Times New Roman" w:cs="Times New Roman" w:eastAsia="Times New Roman" w:hAnsi="Times New Roman"/>
          <w:color w:val="252525"/>
          <w:highlight w:val="white"/>
          <w:rtl w:val="0"/>
        </w:rPr>
        <w:t xml:space="preserve"> (решающий лес) - алгоритм машинного обучения, заключающийся в использовании комитета (ансамбля) </w:t>
      </w:r>
      <w:r w:rsidDel="00000000" w:rsidR="00000000" w:rsidRPr="00000000">
        <w:rPr>
          <w:rFonts w:ascii="Times New Roman" w:cs="Times New Roman" w:eastAsia="Times New Roman" w:hAnsi="Times New Roman"/>
          <w:color w:val="252525"/>
          <w:rtl w:val="0"/>
        </w:rPr>
        <w:t xml:space="preserve">решающих деревьев</w:t>
      </w:r>
      <w:r w:rsidDel="00000000" w:rsidR="00000000" w:rsidRPr="00000000">
        <w:rPr>
          <w:rFonts w:ascii="Times New Roman" w:cs="Times New Roman" w:eastAsia="Times New Roman" w:hAnsi="Times New Roman"/>
          <w:color w:val="252525"/>
          <w:highlight w:val="white"/>
          <w:rtl w:val="0"/>
        </w:rPr>
        <w:t xml:space="preserve">. Алгоритм сочетает в себе две основные идеи: метод </w:t>
      </w:r>
      <w:r w:rsidDel="00000000" w:rsidR="00000000" w:rsidRPr="00000000">
        <w:rPr>
          <w:rFonts w:ascii="Times New Roman" w:cs="Times New Roman" w:eastAsia="Times New Roman" w:hAnsi="Times New Roman"/>
          <w:color w:val="252525"/>
          <w:rtl w:val="0"/>
        </w:rPr>
        <w:t xml:space="preserve">бэггинга</w:t>
      </w:r>
      <w:r w:rsidDel="00000000" w:rsidR="00000000" w:rsidRPr="00000000">
        <w:rPr>
          <w:rFonts w:ascii="Times New Roman" w:cs="Times New Roman" w:eastAsia="Times New Roman" w:hAnsi="Times New Roman"/>
          <w:color w:val="252525"/>
          <w:highlight w:val="white"/>
          <w:rtl w:val="0"/>
        </w:rPr>
        <w:t xml:space="preserve"> Бреймана, и </w:t>
      </w:r>
      <w:r w:rsidDel="00000000" w:rsidR="00000000" w:rsidRPr="00000000">
        <w:rPr>
          <w:rFonts w:ascii="Times New Roman" w:cs="Times New Roman" w:eastAsia="Times New Roman" w:hAnsi="Times New Roman"/>
          <w:color w:val="252525"/>
          <w:rtl w:val="0"/>
        </w:rPr>
        <w:t xml:space="preserve">метод случайных подпространств. 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Методы построения коллективных решений в распознавании.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Используются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ансамбли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распознающих алгоритмов и далее на основе определенных комитетов принимается окончательное коллективное решение.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данном контексте для построения ансамблей используются методы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бэггинг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(метод, относящий объект в тот класс, куда его отнесло большинство алгоритмов -- высокий прирост обобщающей способности (можно учитывать веса)) 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бустинг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(последовательное наращивание ансамбля, в котором объекты выбираются не равноправно, а исходя из какого-то вероятностного распределения).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Важно что ошибка взвешанного решения не больше, чем сумма взвешанных ошибок. Т.е. коллективное решение всегда даёт результат - не хуже.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паре говорили, что бустниг (bootstrap aggregating) - это изменение обучающей выборки, путём замены случайных объектов.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 бэггинг - это идея повышения веса объектов, которые были неправильно распознаны.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Основы алгебраической коррекции.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Задача распознавания в алгебраической теории рассматривается как задача построения по начальной информации I о классах 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. . . , 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предъявленной для распознавания выборки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= {s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. . . , 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} правильной информационной матрицы ∥α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 </w:t>
      </w:r>
      <w:r w:rsidDel="00000000" w:rsidR="00000000" w:rsidRPr="00000000">
        <w:rPr>
          <w:rFonts w:ascii="Nova Mono" w:cs="Nova Mono" w:eastAsia="Nova Mono" w:hAnsi="Nova Mono"/>
          <w:rtl w:val="0"/>
        </w:rPr>
        <w:t xml:space="preserve">∥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L×q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color w:val="38761d"/>
          <w:rtl w:val="0"/>
        </w:rPr>
        <w:t xml:space="preserve">/* or for dummies */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Вспомним, что классификация это ROC, т.е. R * C, где R – это оператор, ставящий каждому прецеденту некоторую характеристику – вероятность отнесения к каждому из классов. А С – это оператор, решающий по характеристикам к какому классу, будем принадлежать.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Журавлёв предложил ввести операции: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Почленное умножение матриц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Почленное сложение матриц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Почленное умножение на число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Тогда S (матрица, где столбец – прецендент из обучающей выборки) * R = Г для каждого классификатора нашего ансамбля можно рассматривать как набор. Для которого существует замыкание из множества всех матриц Г, которые получаются из 1-3 пункта. Тогда существует в этом наборе Г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corr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корректная матрица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(матрица, для которой корректно работает стандартное решающее правило).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итоге надо в замыкании найти корректную матрицу.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40" w:lineRule="auto"/>
        <w:ind w:right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Задача анализа выживаемости  (краткое определение)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Анализ выживаемости -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позволяющих оценить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вероятность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наступления события.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Это математическая модель зависимости функции риска от независимых переменных-факторов. В анализе выживаемости решается задача оценки функции выживания или функций, производных от нее.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Выбор метода для анализа выживаемости зависит от исходных данных: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наличия зависимой и независимых переменных-предикторов;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line="24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наличия или отсутствия цензурированных данных.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Из слайдов: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Целью таких задач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является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single"/>
          <w:rtl w:val="0"/>
        </w:rPr>
        <w:t xml:space="preserve">восстановление вероятности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того, что ожидаемое критическое событие с исследуемым объектом произойдёт не ранее произвольного момента времени. Таким критическим событием может быть отказ изделия в технике, гибель испытуемого организма в биологии или смерть пациента в медицине. Таким образом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single"/>
          <w:rtl w:val="0"/>
        </w:rPr>
        <w:t xml:space="preserve">целью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анализа является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u w:val="single"/>
          <w:rtl w:val="0"/>
        </w:rPr>
        <w:t xml:space="preserve">вычисление функции (кривой) выживаемости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S(t) = P{T &gt; t} , где через T обозначено время наступления критического события, P {T &gt; t} обозначает вероятность того, что критическое событие произойдёт позже момента t. 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sectPr>
      <w:headerReference r:id="rId30" w:type="default"/>
      <w:pgSz w:h="16834" w:w="11909"/>
      <w:pgMar w:bottom="1440" w:top="1440" w:left="705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Arial Unicode MS"/>
  <w:font w:name="Courier New"/>
  <w:font w:name="Nova Mono">
    <w:embedRegular r:id="rId1" w:subsetted="0"/>
  </w:font>
</w:fonts>
</file>

<file path=word/header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firstLine="108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firstLine="1800"/>
      </w:pPr>
      <w:rPr/>
    </w:lvl>
    <w:lvl w:ilvl="2">
      <w:start w:val="1"/>
      <w:numFmt w:val="lowerRoman"/>
      <w:lvlText w:val="%3."/>
      <w:lvlJc w:val="right"/>
      <w:pPr>
        <w:ind w:left="2880" w:firstLine="2700"/>
      </w:pPr>
      <w:rPr/>
    </w:lvl>
    <w:lvl w:ilvl="3">
      <w:start w:val="1"/>
      <w:numFmt w:val="decimal"/>
      <w:lvlText w:val="%4."/>
      <w:lvlJc w:val="left"/>
      <w:pPr>
        <w:ind w:left="3600" w:firstLine="3240"/>
      </w:pPr>
      <w:rPr/>
    </w:lvl>
    <w:lvl w:ilvl="4">
      <w:start w:val="1"/>
      <w:numFmt w:val="lowerLetter"/>
      <w:lvlText w:val="%5."/>
      <w:lvlJc w:val="left"/>
      <w:pPr>
        <w:ind w:left="4320" w:firstLine="3960"/>
      </w:pPr>
      <w:rPr/>
    </w:lvl>
    <w:lvl w:ilvl="5">
      <w:start w:val="1"/>
      <w:numFmt w:val="lowerRoman"/>
      <w:lvlText w:val="%6."/>
      <w:lvlJc w:val="right"/>
      <w:pPr>
        <w:ind w:left="5040" w:firstLine="4860"/>
      </w:pPr>
      <w:rPr/>
    </w:lvl>
    <w:lvl w:ilvl="6">
      <w:start w:val="1"/>
      <w:numFmt w:val="decimal"/>
      <w:lvlText w:val="%7."/>
      <w:lvlJc w:val="left"/>
      <w:pPr>
        <w:ind w:left="5760" w:firstLine="5400"/>
      </w:pPr>
      <w:rPr/>
    </w:lvl>
    <w:lvl w:ilvl="7">
      <w:start w:val="1"/>
      <w:numFmt w:val="lowerLetter"/>
      <w:lvlText w:val="%8."/>
      <w:lvlJc w:val="left"/>
      <w:pPr>
        <w:ind w:left="6480" w:firstLine="6120"/>
      </w:pPr>
      <w:rPr/>
    </w:lvl>
    <w:lvl w:ilvl="8">
      <w:start w:val="1"/>
      <w:numFmt w:val="lowerRoman"/>
      <w:lvlText w:val="%9."/>
      <w:lvlJc w:val="right"/>
      <w:pPr>
        <w:ind w:left="7200" w:firstLine="702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555555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7.png"/><Relationship Id="rId22" Type="http://schemas.openxmlformats.org/officeDocument/2006/relationships/image" Target="media/image06.png"/><Relationship Id="rId21" Type="http://schemas.openxmlformats.org/officeDocument/2006/relationships/image" Target="media/image42.png"/><Relationship Id="rId24" Type="http://schemas.openxmlformats.org/officeDocument/2006/relationships/image" Target="media/image45.png"/><Relationship Id="rId23" Type="http://schemas.openxmlformats.org/officeDocument/2006/relationships/image" Target="media/image35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8.png"/><Relationship Id="rId26" Type="http://schemas.openxmlformats.org/officeDocument/2006/relationships/image" Target="media/image14.png"/><Relationship Id="rId25" Type="http://schemas.openxmlformats.org/officeDocument/2006/relationships/image" Target="media/image46.png"/><Relationship Id="rId28" Type="http://schemas.openxmlformats.org/officeDocument/2006/relationships/image" Target="media/image39.png"/><Relationship Id="rId27" Type="http://schemas.openxmlformats.org/officeDocument/2006/relationships/image" Target="media/image36.png"/><Relationship Id="rId5" Type="http://schemas.openxmlformats.org/officeDocument/2006/relationships/hyperlink" Target="https://drive.google.com/folderview?id=0B0X-oQW4pjUUeUY3eE05TDU0Ujg&amp;usp=sharing&amp;tid=0B0X-oQW4pjUUajBvRjVvNVEyMVU#list" TargetMode="External"/><Relationship Id="rId6" Type="http://schemas.openxmlformats.org/officeDocument/2006/relationships/image" Target="media/image11.png"/><Relationship Id="rId29" Type="http://schemas.openxmlformats.org/officeDocument/2006/relationships/image" Target="media/image41.png"/><Relationship Id="rId7" Type="http://schemas.openxmlformats.org/officeDocument/2006/relationships/image" Target="media/image13.png"/><Relationship Id="rId8" Type="http://schemas.openxmlformats.org/officeDocument/2006/relationships/image" Target="media/image10.png"/><Relationship Id="rId30" Type="http://schemas.openxmlformats.org/officeDocument/2006/relationships/header" Target="header.xml"/><Relationship Id="rId11" Type="http://schemas.openxmlformats.org/officeDocument/2006/relationships/image" Target="media/image12.gif"/><Relationship Id="rId10" Type="http://schemas.openxmlformats.org/officeDocument/2006/relationships/image" Target="media/image27.gif"/><Relationship Id="rId13" Type="http://schemas.openxmlformats.org/officeDocument/2006/relationships/image" Target="media/image44.gif"/><Relationship Id="rId12" Type="http://schemas.openxmlformats.org/officeDocument/2006/relationships/image" Target="media/image25.gif"/><Relationship Id="rId15" Type="http://schemas.openxmlformats.org/officeDocument/2006/relationships/image" Target="media/image15.png"/><Relationship Id="rId14" Type="http://schemas.openxmlformats.org/officeDocument/2006/relationships/image" Target="media/image40.gif"/><Relationship Id="rId17" Type="http://schemas.openxmlformats.org/officeDocument/2006/relationships/image" Target="media/image34.png"/><Relationship Id="rId16" Type="http://schemas.openxmlformats.org/officeDocument/2006/relationships/image" Target="media/image22.png"/><Relationship Id="rId19" Type="http://schemas.openxmlformats.org/officeDocument/2006/relationships/image" Target="media/image47.png"/><Relationship Id="rId18" Type="http://schemas.openxmlformats.org/officeDocument/2006/relationships/image" Target="media/image4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vaMono-regular.ttf"/></Relationships>
</file>